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黑体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>
      <w:pPr>
        <w:spacing w:line="520" w:lineRule="exact"/>
        <w:jc w:val="center"/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  <w:t>贵州大学组织参加“第三届全国大学生网络文化节”网文类作品推选名单</w:t>
      </w:r>
    </w:p>
    <w:p>
      <w:pPr>
        <w:spacing w:line="520" w:lineRule="exact"/>
        <w:jc w:val="center"/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</w:pPr>
    </w:p>
    <w:tbl>
      <w:tblPr>
        <w:tblStyle w:val="3"/>
        <w:tblW w:w="87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8"/>
        <w:gridCol w:w="2610"/>
        <w:gridCol w:w="1155"/>
        <w:gridCol w:w="975"/>
        <w:gridCol w:w="229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第一作者姓名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学院及专业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学历及年级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《时光为墨，润色青春》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陈姣姣</w:t>
            </w:r>
            <w:bookmarkEnd w:id="0"/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汉语言文学专业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16级本科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《只愿书香年华书香人》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音乐表演专业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18级本科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《学以致用：贵州大学多彩调研队走近外来务工者，探寻市民化进程》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王君嘉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应用经济学专业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《风筝》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lang w:val="en-US"/>
              </w:rPr>
              <w:t>王瑜妃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阳明学院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财政金融类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18级本科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《前世今生》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冉诗学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播音与主持艺术专业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17级本科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《魂震山河》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邱洪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资源与环境工程学院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资源勘查工程专业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16级本科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《倡导文明健康的网络生活方式，提升网络素养》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张煌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资源与环境工程学院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勘查与技术工程专业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17级本科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《能量墙|少年正当时，风华正茂》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资源与环境工程学院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勘查与技术工程专业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17级本科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《振兴乡村•致敬楷模——走进我们的宣讲历程，讲述时代楷模的感人故事》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资源与环境工程学院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勘查与技术工程专业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17级本科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《爱国先知史》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资源与环境工程学院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环境科学专业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17级本科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A3708"/>
    <w:rsid w:val="0BC94620"/>
    <w:rsid w:val="0CBC6DB2"/>
    <w:rsid w:val="0FE401DC"/>
    <w:rsid w:val="1A6377A5"/>
    <w:rsid w:val="223D184F"/>
    <w:rsid w:val="37707B56"/>
    <w:rsid w:val="49124E58"/>
    <w:rsid w:val="515C0C42"/>
    <w:rsid w:val="59707104"/>
    <w:rsid w:val="5AA5594D"/>
    <w:rsid w:val="5CAC18A5"/>
    <w:rsid w:val="67FA6633"/>
    <w:rsid w:val="6AC70B5D"/>
    <w:rsid w:val="6DBF07AA"/>
    <w:rsid w:val="71B2109D"/>
    <w:rsid w:val="747B07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Mangal"/>
      <w:kern w:val="2"/>
      <w:sz w:val="21"/>
      <w:szCs w:val="24"/>
      <w:lang w:val="en-US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☆ 碧竹云天♬</cp:lastModifiedBy>
  <dcterms:modified xsi:type="dcterms:W3CDTF">2018-11-05T08:32:47Z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